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60" w:lineRule="auto"/>
        <w:jc w:val="center"/>
        <w:rPr>
          <w:rFonts w:hint="eastAsia" w:ascii="方正楷体_GBK" w:hAnsi="方正楷体_GBK" w:eastAsia="方正楷体_GBK" w:cs="方正楷体_GBK"/>
          <w:b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color w:val="auto"/>
          <w:sz w:val="44"/>
          <w:szCs w:val="44"/>
          <w:highlight w:val="none"/>
          <w:lang w:val="en-US" w:eastAsia="zh-CN"/>
        </w:rPr>
        <w:t>重庆市第二外国语学校涵芬楼改扩建项目水电安装工程招标条件函</w:t>
      </w:r>
    </w:p>
    <w:p>
      <w:pPr>
        <w:spacing w:beforeLines="0" w:afterLines="0" w:line="360" w:lineRule="auto"/>
        <w:jc w:val="both"/>
        <w:rPr>
          <w:rFonts w:hint="eastAsia" w:ascii="方正楷体_GBK" w:hAnsi="方正楷体_GBK" w:eastAsia="方正楷体_GBK" w:cs="方正楷体_GBK"/>
          <w:b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  <w:t>一、项目介绍：本工程为多层公共建筑，为学校扩建行政办公大楼。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  <w:t>招标范围：设计面积5631.8m²，地上7层。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  <w:t>三、承包方式：专业承包（材料甲供），一次验收合格。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yellow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   四、承包内容：本工程施工图设计范围内的所有水电安装工程施工内容，包含且不限于室内外土石方开挖回填（污排水接至室外第一个检查井）、一次二次预留预埋、防雷系统、给排水系统、电气系统（包含普通照明）、应急照明、桥架、卫生间换气系统、空调洞预埋和厕所排气孔预埋、消防一次预埋等全部内容，具体详见施工设计图及水电安装工程施工承包内容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yellow"/>
          <w:lang w:val="en-US" w:eastAsia="zh-CN"/>
        </w:rPr>
        <w:t>（特别说明：包括二次装修水电安装，暂无回路图纸）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  <w:t>五、报价方式：按建筑面积报送结算单价</w:t>
      </w:r>
    </w:p>
    <w:tbl>
      <w:tblPr>
        <w:tblStyle w:val="4"/>
        <w:tblW w:w="904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2995"/>
        <w:gridCol w:w="1050"/>
        <w:gridCol w:w="1275"/>
        <w:gridCol w:w="27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每平方水电安装费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color w:val="auto"/>
                <w:highlight w:val="none"/>
                <w:lang w:val="en-US" w:eastAsia="zh-CN" w:bidi="ar"/>
              </w:rPr>
              <w:t>m</w:t>
            </w:r>
            <w:r>
              <w:rPr>
                <w:rStyle w:val="7"/>
                <w:rFonts w:hint="eastAsia" w:ascii="方正楷体_GBK" w:hAnsi="方正楷体_GBK" w:eastAsia="方正楷体_GBK" w:cs="方正楷体_GBK"/>
                <w:color w:val="auto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企业管理费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color w:val="auto"/>
                <w:highlight w:val="none"/>
                <w:lang w:val="en-US" w:eastAsia="zh-CN" w:bidi="ar"/>
              </w:rPr>
              <w:t>m</w:t>
            </w:r>
            <w:r>
              <w:rPr>
                <w:rStyle w:val="7"/>
                <w:rFonts w:hint="eastAsia" w:ascii="方正楷体_GBK" w:hAnsi="方正楷体_GBK" w:eastAsia="方正楷体_GBK" w:cs="方正楷体_GBK"/>
                <w:color w:val="auto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税费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color w:val="auto"/>
                <w:highlight w:val="none"/>
                <w:lang w:val="en-US" w:eastAsia="zh-CN" w:bidi="ar"/>
              </w:rPr>
              <w:t>m</w:t>
            </w:r>
            <w:r>
              <w:rPr>
                <w:rStyle w:val="7"/>
                <w:rFonts w:hint="eastAsia" w:ascii="方正楷体_GBK" w:hAnsi="方正楷体_GBK" w:eastAsia="方正楷体_GBK" w:cs="方正楷体_GBK"/>
                <w:color w:val="auto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总价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8"/>
                <w:rFonts w:hint="eastAsia" w:ascii="方正楷体_GBK" w:hAnsi="方正楷体_GBK" w:eastAsia="方正楷体_GBK" w:cs="方正楷体_GBK"/>
                <w:color w:val="auto"/>
                <w:highlight w:val="none"/>
                <w:lang w:val="en-US" w:eastAsia="zh-CN" w:bidi="ar"/>
              </w:rPr>
              <w:t>m</w:t>
            </w:r>
            <w:r>
              <w:rPr>
                <w:rStyle w:val="9"/>
                <w:rFonts w:hint="eastAsia" w:ascii="方正楷体_GBK" w:hAnsi="方正楷体_GBK" w:eastAsia="方正楷体_GBK" w:cs="方正楷体_GBK"/>
                <w:color w:val="auto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  <w:t>报价内容包含：直接费（不含材料费）、间接费、措施费、企业管理费、规费、利润、税金、安全文明施工费、送检费、总包配合服务费、建筑工程档案编制费等全部费用。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  <w:t>六、工程款支付方式：按月形象进度80%支付。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  <w:t>七、项目工期：150日历天。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  <w:t>八、投标期限：截止期2024年9月25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  <w:t>日中午12点前（标书需密封报价，如未密封视为废标）。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  <w:t>九、投标报送联系人及电话：  陈  华18996243678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6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  <w:t>曾云智 15922631002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  <w:t xml:space="preserve">                  技术咨询：邵光平 13110124010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0"/>
          <w:szCs w:val="30"/>
          <w:highlight w:val="none"/>
          <w:lang w:val="en-US" w:eastAsia="zh-CN"/>
        </w:rPr>
        <w:t>招标日期：2024年9月18日</w:t>
      </w: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rPr>
          <w:rFonts w:hint="eastAsia" w:ascii="方正楷体_GBK" w:hAnsi="方正楷体_GBK" w:eastAsia="方正楷体_GBK" w:cs="方正楷体_GBK"/>
          <w:color w:val="auto"/>
          <w:highlight w:val="none"/>
        </w:rPr>
      </w:pPr>
    </w:p>
    <w:p>
      <w:pPr>
        <w:spacing w:line="360" w:lineRule="auto"/>
        <w:ind w:firstLine="883" w:firstLineChars="200"/>
        <w:jc w:val="center"/>
        <w:rPr>
          <w:rFonts w:hint="eastAsia" w:ascii="方正楷体_GBK" w:hAnsi="方正楷体_GBK" w:eastAsia="方正楷体_GBK" w:cs="方正楷体_GBK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44"/>
          <w:szCs w:val="44"/>
          <w:highlight w:val="none"/>
          <w:lang w:val="en-US" w:eastAsia="zh-CN"/>
        </w:rPr>
        <w:t>水电安装工程施工承包内容</w:t>
      </w:r>
    </w:p>
    <w:p>
      <w:pPr>
        <w:spacing w:line="360" w:lineRule="auto"/>
        <w:ind w:firstLine="560" w:firstLineChars="200"/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</w:pPr>
    </w:p>
    <w:p>
      <w:pPr>
        <w:spacing w:line="360" w:lineRule="auto"/>
        <w:ind w:firstLine="562" w:firstLineChars="200"/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</w:rPr>
        <w:t>1、给排水工程</w:t>
      </w:r>
    </w:p>
    <w:p>
      <w:pPr>
        <w:spacing w:line="360" w:lineRule="auto"/>
        <w:ind w:firstLine="560" w:firstLineChars="200"/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（1）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</w:rPr>
        <w:t>给水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：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施工图设计范围内的所有水电安装相关的给水系统（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除消防系统外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的所有工作内容，包含且不限于室内外土石方开挖回填、室外给水接入、室内给水系统（包含冷水和热水）、水表、热水器等的全部工作内容。</w:t>
      </w:r>
    </w:p>
    <w:p>
      <w:pPr>
        <w:spacing w:line="360" w:lineRule="auto"/>
        <w:ind w:firstLine="560" w:firstLineChars="200"/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（2）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</w:rPr>
        <w:t>排水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：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施工图设计范围内的所有水电安装相关的（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除消防系统外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的所有工作内容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，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包含且不限于雨水、污水、废水、冷凝水等，以及室内外部分土石方开挖回填和所有排水管道接入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室外雨、污、废水井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排水沟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的全部工作内容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2、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</w:rPr>
        <w:t>电气工程：</w:t>
      </w:r>
    </w:p>
    <w:p>
      <w:pPr>
        <w:spacing w:line="360" w:lineRule="auto"/>
        <w:ind w:firstLine="560" w:firstLineChars="200"/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（1）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  <w:lang w:eastAsia="zh-CN"/>
        </w:rPr>
        <w:t>户内配电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施工图设计范围内的所有配电工作内容，包含且不限于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从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变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配电室低压出线端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至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各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楼层开关箱的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土石方开挖回填、管廊施工、预留预埋、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桥架安装、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配管配线敷设（包含暗敷和明敷的电缆或电线）、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设备安装调试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；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各配电箱至末端设备的所有配电工作。</w:t>
      </w:r>
    </w:p>
    <w:p>
      <w:pPr>
        <w:spacing w:line="360" w:lineRule="auto"/>
        <w:ind w:firstLine="560" w:firstLineChars="200"/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  <w:lang w:eastAsia="zh-CN"/>
        </w:rPr>
        <w:t>电梯配电：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从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变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配电室低压出线端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至电梯机房电梯配电箱的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土石方开挖回填、管廊施工、预留预埋、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桥架安装、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配管配线敷设（包含暗敷和明敷的电缆或电线）、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设备安装调试；电梯配电箱至电梯控制箱的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配管配线敷设（包含暗敷和明敷的电缆或电线）、线缆敷设等。</w:t>
      </w:r>
    </w:p>
    <w:p>
      <w:pPr>
        <w:spacing w:line="360" w:lineRule="auto"/>
        <w:ind w:firstLine="560" w:firstLineChars="200"/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  <w:lang w:eastAsia="zh-CN"/>
        </w:rPr>
        <w:t>消防风机配电：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从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变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配电室低压出线端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至消防配电总箱的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土石方开挖回填、管廊施工、预留预埋、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桥架安装、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配管配线敷设（包含暗敷和明敷的电缆或电线）、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设备安装调试（消防配电总箱）；消防配电总箱至风机控制箱的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配管配线敷设（包含暗敷和明敷的电缆或电线）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、风机控制箱的安装调试；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shd w:val="clear" w:color="auto" w:fill="auto"/>
          <w:lang w:eastAsia="zh-CN"/>
        </w:rPr>
        <w:t>消防控制箱出线端的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配管配线敷设（包含暗敷和明敷的电缆或电线）等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shd w:val="clear" w:color="auto" w:fill="auto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highlight w:val="none"/>
          <w:shd w:val="clear" w:color="auto" w:fill="auto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highlight w:val="none"/>
          <w:shd w:val="clear" w:color="auto" w:fill="auto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空气源热泵配电：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从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变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配电室低压出线端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至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空气源热泵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配电箱的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土石方开挖回填、管廊施工、预留预埋、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桥架安装、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配管配线敷设（包含暗敷和明敷的电缆或电线）、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设备安装调试；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空气源热泵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配电箱至控制箱的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配管配线敷设（包含暗敷和明敷的电缆或电线）等。</w:t>
      </w:r>
    </w:p>
    <w:p>
      <w:pPr>
        <w:spacing w:line="360" w:lineRule="auto"/>
        <w:ind w:firstLine="560" w:firstLineChars="200"/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  <w:lang w:eastAsia="zh-CN"/>
        </w:rPr>
        <w:t>照明系统：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施工图设计范围内的所有普通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照明和应急照明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系统的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灯具、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开关、插座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接线盒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的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预留预埋（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包含配管及配线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安装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调试。</w:t>
      </w:r>
    </w:p>
    <w:p>
      <w:pPr>
        <w:spacing w:line="360" w:lineRule="auto"/>
        <w:ind w:firstLine="560" w:firstLineChars="200"/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  <w:lang w:eastAsia="zh-CN"/>
        </w:rPr>
        <w:t>防火封堵：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各个防火分区、强弱电井、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孔洞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的防火封堵，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不限于防火堵料和防火包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  <w:lang w:eastAsia="zh-CN"/>
        </w:rPr>
        <w:t>防雷工程：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highlight w:val="none"/>
          <w:lang w:val="en-US" w:eastAsia="zh-CN"/>
        </w:rPr>
        <w:t>本工程所有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防雷接地系统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及设施设备的防雷接地；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highlight w:val="none"/>
          <w:lang w:val="en-US" w:eastAsia="zh-CN"/>
        </w:rPr>
        <w:t>所有等电位的工作内容；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承担本工程的防雷检测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保证通过防雷检测，获得防雷检测报告，具体内容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以防雷部门要求为准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</w:rPr>
        <w:t>弱电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  <w:lang w:eastAsia="zh-CN"/>
        </w:rPr>
        <w:t>系统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</w:rPr>
        <w:t>：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施工图设计范围内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所有弱电系统的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预留预埋、线管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线槽、桥架（含消防桥架）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接口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</w:rPr>
        <w:t>的安装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，弱电箱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的安装调试。</w:t>
      </w:r>
    </w:p>
    <w:p>
      <w:pPr>
        <w:spacing w:line="360" w:lineRule="auto"/>
        <w:ind w:firstLine="560" w:firstLineChars="200"/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  <w:lang w:val="en-US" w:eastAsia="zh-CN"/>
        </w:rPr>
        <w:t>预留预埋：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以上所有系统工程的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土石方开挖回填、管廊施工、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预留预埋、封堵和恢复；智能化、网络、通讯系统的预埋；电梯及新风系统的结构预埋；穿线管内预留引丝的施工，所有预埋套管及预留洞口按相关专业施工图及规范要求进行施工（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含消防一次预埋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eastAsia="zh-CN"/>
        </w:rPr>
        <w:t>）。</w:t>
      </w:r>
    </w:p>
    <w:p>
      <w:pPr>
        <w:spacing w:line="360" w:lineRule="auto"/>
        <w:ind w:firstLine="562" w:firstLineChars="200"/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  <w:lang w:val="en-US" w:eastAsia="zh-CN"/>
        </w:rPr>
        <w:t>3、其他工程</w:t>
      </w:r>
    </w:p>
    <w:p>
      <w:pPr>
        <w:spacing w:line="360" w:lineRule="auto"/>
        <w:ind w:firstLine="560" w:firstLineChars="200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highlight w:val="none"/>
          <w:lang w:val="en-US" w:eastAsia="zh-CN"/>
        </w:rPr>
        <w:t>（1）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  <w:lang w:val="en-US" w:eastAsia="zh-CN"/>
        </w:rPr>
        <w:t>通风工程：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highlight w:val="none"/>
          <w:lang w:val="en-US" w:eastAsia="zh-CN"/>
        </w:rPr>
        <w:t>所有卫生间的换气系统的预留预埋、设备安装与调试。</w:t>
      </w:r>
    </w:p>
    <w:p>
      <w:pPr>
        <w:spacing w:line="360" w:lineRule="auto"/>
        <w:ind w:firstLine="560" w:firstLineChars="200"/>
        <w:rPr>
          <w:rFonts w:hint="eastAsia" w:ascii="方正楷体_GBK" w:hAnsi="方正楷体_GBK" w:eastAsia="方正楷体_GBK" w:cs="方正楷体_GBK"/>
          <w:color w:val="auto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highlight w:val="none"/>
          <w:lang w:val="en-US" w:eastAsia="zh-CN"/>
        </w:rPr>
        <w:t>（2）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28"/>
          <w:szCs w:val="28"/>
          <w:highlight w:val="none"/>
          <w:lang w:val="en-US" w:eastAsia="zh-CN"/>
        </w:rPr>
        <w:t>零星工程：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highlight w:val="none"/>
          <w:lang w:val="en-US" w:eastAsia="zh-CN"/>
        </w:rPr>
        <w:t>其他属于水电安装工程范围内的所有零星工作。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98A9C7"/>
    <w:multiLevelType w:val="singleLevel"/>
    <w:tmpl w:val="1D98A9C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MzMxZmU2MTYwYjFhM2E5ZWQ5NTdjMWNiYTZhZjAifQ=="/>
  </w:docVars>
  <w:rsids>
    <w:rsidRoot w:val="126B780E"/>
    <w:rsid w:val="01E41982"/>
    <w:rsid w:val="0342661E"/>
    <w:rsid w:val="083216A1"/>
    <w:rsid w:val="08CA4D39"/>
    <w:rsid w:val="0B19543F"/>
    <w:rsid w:val="0E6350F1"/>
    <w:rsid w:val="0EF76CFD"/>
    <w:rsid w:val="103722B6"/>
    <w:rsid w:val="10AE60BC"/>
    <w:rsid w:val="10CE6E7E"/>
    <w:rsid w:val="11B676DD"/>
    <w:rsid w:val="126119D6"/>
    <w:rsid w:val="12680368"/>
    <w:rsid w:val="126B780E"/>
    <w:rsid w:val="12C624DF"/>
    <w:rsid w:val="152B4C31"/>
    <w:rsid w:val="156073E4"/>
    <w:rsid w:val="1A4504C3"/>
    <w:rsid w:val="1F236647"/>
    <w:rsid w:val="1F290B00"/>
    <w:rsid w:val="1F3C694D"/>
    <w:rsid w:val="1F7F6D43"/>
    <w:rsid w:val="1FF35273"/>
    <w:rsid w:val="22304595"/>
    <w:rsid w:val="225B7E2F"/>
    <w:rsid w:val="23362764"/>
    <w:rsid w:val="240A6AC0"/>
    <w:rsid w:val="259A6BCC"/>
    <w:rsid w:val="28821A51"/>
    <w:rsid w:val="2AC23886"/>
    <w:rsid w:val="2B681609"/>
    <w:rsid w:val="2D794257"/>
    <w:rsid w:val="2E0F694C"/>
    <w:rsid w:val="3019490C"/>
    <w:rsid w:val="31F50C06"/>
    <w:rsid w:val="32FD74C5"/>
    <w:rsid w:val="39EE0599"/>
    <w:rsid w:val="3A9643BE"/>
    <w:rsid w:val="3E805F13"/>
    <w:rsid w:val="3F6A5645"/>
    <w:rsid w:val="411750B6"/>
    <w:rsid w:val="479B4E00"/>
    <w:rsid w:val="47B231A5"/>
    <w:rsid w:val="4AC621EA"/>
    <w:rsid w:val="50975079"/>
    <w:rsid w:val="52CC67F8"/>
    <w:rsid w:val="542C2717"/>
    <w:rsid w:val="578F3D70"/>
    <w:rsid w:val="57BE3A42"/>
    <w:rsid w:val="58A3638E"/>
    <w:rsid w:val="59D50EB0"/>
    <w:rsid w:val="5CBA412E"/>
    <w:rsid w:val="5DBC5720"/>
    <w:rsid w:val="5DE720F1"/>
    <w:rsid w:val="5EF043F3"/>
    <w:rsid w:val="62300597"/>
    <w:rsid w:val="62C8668D"/>
    <w:rsid w:val="64E602ED"/>
    <w:rsid w:val="651A2B27"/>
    <w:rsid w:val="6BE87538"/>
    <w:rsid w:val="6E5B3B21"/>
    <w:rsid w:val="6EC549DA"/>
    <w:rsid w:val="70397057"/>
    <w:rsid w:val="71C852B6"/>
    <w:rsid w:val="73D36DE0"/>
    <w:rsid w:val="7864722C"/>
    <w:rsid w:val="79B257DB"/>
    <w:rsid w:val="7A623AD1"/>
    <w:rsid w:val="7ACD4C41"/>
    <w:rsid w:val="7FE5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spacing w:beforeLines="0" w:afterLines="0"/>
      <w:jc w:val="both"/>
    </w:pPr>
    <w:rPr>
      <w:rFonts w:hint="default" w:ascii="Calibri" w:hAnsi="Calibri" w:eastAsia="宋体" w:cs="Times New Roman"/>
      <w:kern w:val="2"/>
      <w:sz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  <w:vertAlign w:val="superscript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9">
    <w:name w:val="font0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2021-03-16T07:58:00Z</dcterms:created>
  <dc:creator>肥猫</dc:creator>
  <cp:lastModifiedBy>曾云智</cp:lastModifiedBy>
  <dcterms:modified xsi:type="dcterms:W3CDTF">2024-09-18T02:04:52Z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F2E35BAD6EDC4CAA85E7E253CE6772EA</vt:lpwstr>
  </property>
</Properties>
</file>